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D042" w14:textId="5BF4DD32" w:rsidR="004446F6" w:rsidRPr="007872A3" w:rsidRDefault="007872A3">
      <w:pPr>
        <w:rPr>
          <w:rFonts w:cs="Tahoma"/>
          <w:b/>
          <w:bCs/>
        </w:rPr>
      </w:pPr>
      <w:r w:rsidRPr="007872A3">
        <w:rPr>
          <w:rFonts w:cs="Tahoma"/>
          <w:b/>
          <w:bCs/>
        </w:rPr>
        <w:t>Pasikeitimai IPR IS paslaugų klasifikatoriuje</w:t>
      </w:r>
    </w:p>
    <w:p w14:paraId="3300DE98" w14:textId="77777777" w:rsidR="007872A3" w:rsidRDefault="007872A3" w:rsidP="004446F6">
      <w:pPr>
        <w:rPr>
          <w:rFonts w:cs="Tahoma"/>
        </w:rPr>
      </w:pPr>
    </w:p>
    <w:p w14:paraId="1621B86C" w14:textId="35164925" w:rsidR="00A1151B" w:rsidRDefault="004446F6" w:rsidP="004446F6">
      <w:pPr>
        <w:rPr>
          <w:rFonts w:cs="Tahoma"/>
        </w:rPr>
      </w:pPr>
      <w:r w:rsidRPr="0FC08147">
        <w:rPr>
          <w:rFonts w:cs="Tahoma"/>
        </w:rPr>
        <w:t>Nuo 2025</w:t>
      </w:r>
      <w:r w:rsidR="00AE328C">
        <w:rPr>
          <w:rFonts w:cs="Tahoma"/>
        </w:rPr>
        <w:t>-10-22</w:t>
      </w:r>
      <w:r w:rsidRPr="0FC08147">
        <w:rPr>
          <w:rFonts w:cs="Tahoma"/>
        </w:rPr>
        <w:t xml:space="preserve"> IPR paslaugų klasifikatorius bus papildytas naujomis II ir III lygio paslaugomis.</w:t>
      </w:r>
      <w:r w:rsidR="00B0239A" w:rsidRPr="0FC08147">
        <w:rPr>
          <w:rFonts w:cs="Tahoma"/>
        </w:rPr>
        <w:t xml:space="preserve"> </w:t>
      </w:r>
    </w:p>
    <w:p w14:paraId="0B10DDBF" w14:textId="3F8856FA" w:rsidR="0FC08147" w:rsidRDefault="0FC08147" w:rsidP="0FC08147">
      <w:pPr>
        <w:rPr>
          <w:rFonts w:cs="Tahoma"/>
        </w:rPr>
      </w:pPr>
    </w:p>
    <w:p w14:paraId="0E87AC2B" w14:textId="111CCFAC" w:rsidR="7D19D6FB" w:rsidRDefault="7D19D6FB">
      <w:r w:rsidRPr="0FC08147">
        <w:rPr>
          <w:rFonts w:eastAsia="Tahoma" w:cs="Tahoma"/>
        </w:rPr>
        <w:t>Šis sprendimas įgyvendinamas siekiant tiksliau atspindėti sveikatos priežiūros sistemos struktūrą ir užtikrinti, kad pacientų registracija vyktų pagal paslaugų teikimo lygmenis. Tai leis kryptingai valdyti pacientų srautus, diferencijuoti paslaugų prieinamumą</w:t>
      </w:r>
      <w:r w:rsidR="00B316AE">
        <w:rPr>
          <w:rFonts w:eastAsia="Tahoma" w:cs="Tahoma"/>
        </w:rPr>
        <w:t xml:space="preserve"> pagal </w:t>
      </w:r>
      <w:r w:rsidR="00CA5270">
        <w:rPr>
          <w:rFonts w:eastAsia="Tahoma" w:cs="Tahoma"/>
        </w:rPr>
        <w:t>paciento būklę</w:t>
      </w:r>
      <w:r w:rsidR="009A37AF">
        <w:rPr>
          <w:rFonts w:eastAsia="Tahoma" w:cs="Tahoma"/>
        </w:rPr>
        <w:t>.</w:t>
      </w:r>
    </w:p>
    <w:p w14:paraId="44F0D26C" w14:textId="1B7AFE5D" w:rsidR="0FC08147" w:rsidRDefault="0FC08147" w:rsidP="0FC08147">
      <w:pPr>
        <w:rPr>
          <w:rFonts w:eastAsia="Tahoma" w:cs="Tahoma"/>
        </w:rPr>
      </w:pPr>
    </w:p>
    <w:p w14:paraId="7A472519" w14:textId="1957BBB9" w:rsidR="277D0AF7" w:rsidRDefault="277D0AF7" w:rsidP="0FC08147">
      <w:pPr>
        <w:rPr>
          <w:rFonts w:eastAsia="Tahoma" w:cs="Tahoma"/>
        </w:rPr>
      </w:pPr>
      <w:r w:rsidRPr="0FC08147">
        <w:rPr>
          <w:rFonts w:eastAsia="Tahoma" w:cs="Tahoma"/>
        </w:rPr>
        <w:t>Pokyčio tiksla</w:t>
      </w:r>
      <w:r w:rsidR="0084260D">
        <w:rPr>
          <w:rFonts w:eastAsia="Tahoma" w:cs="Tahoma"/>
        </w:rPr>
        <w:t>i</w:t>
      </w:r>
      <w:r w:rsidRPr="0FC08147">
        <w:rPr>
          <w:rFonts w:eastAsia="Tahoma" w:cs="Tahoma"/>
        </w:rPr>
        <w:t xml:space="preserve">: </w:t>
      </w:r>
    </w:p>
    <w:p w14:paraId="772E0110" w14:textId="55C97190" w:rsidR="277D0AF7" w:rsidRDefault="277D0AF7" w:rsidP="0FC08147">
      <w:pPr>
        <w:pStyle w:val="ListParagraph"/>
        <w:numPr>
          <w:ilvl w:val="0"/>
          <w:numId w:val="2"/>
        </w:numPr>
        <w:rPr>
          <w:rFonts w:eastAsia="Tahoma" w:cs="Tahoma"/>
        </w:rPr>
      </w:pPr>
      <w:r w:rsidRPr="0FC08147">
        <w:rPr>
          <w:rFonts w:eastAsia="Tahoma" w:cs="Tahoma"/>
        </w:rPr>
        <w:t xml:space="preserve">Generuoti vizitus </w:t>
      </w:r>
      <w:r w:rsidR="00942999">
        <w:rPr>
          <w:rFonts w:eastAsia="Tahoma" w:cs="Tahoma"/>
        </w:rPr>
        <w:t xml:space="preserve"> </w:t>
      </w:r>
      <w:r w:rsidR="009E723B">
        <w:rPr>
          <w:rFonts w:eastAsia="Tahoma" w:cs="Tahoma"/>
        </w:rPr>
        <w:t xml:space="preserve">atskirai </w:t>
      </w:r>
      <w:r w:rsidR="00942999">
        <w:rPr>
          <w:rFonts w:eastAsia="Tahoma" w:cs="Tahoma"/>
        </w:rPr>
        <w:t>pagal paslaugos lygį</w:t>
      </w:r>
      <w:r w:rsidR="00774890">
        <w:rPr>
          <w:rFonts w:eastAsia="Tahoma" w:cs="Tahoma"/>
        </w:rPr>
        <w:t>.</w:t>
      </w:r>
    </w:p>
    <w:p w14:paraId="0D8C9098" w14:textId="5C52EF84" w:rsidR="0FC08147" w:rsidRPr="009A1B68" w:rsidRDefault="277D0AF7" w:rsidP="009A1B68">
      <w:pPr>
        <w:pStyle w:val="ListParagraph"/>
        <w:numPr>
          <w:ilvl w:val="0"/>
          <w:numId w:val="2"/>
        </w:numPr>
        <w:rPr>
          <w:rFonts w:eastAsia="Tahoma" w:cs="Tahoma"/>
        </w:rPr>
      </w:pPr>
      <w:r w:rsidRPr="0FC08147">
        <w:rPr>
          <w:rFonts w:eastAsia="Tahoma" w:cs="Tahoma"/>
        </w:rPr>
        <w:t>Užtikrinti, kad registracija vyktų į tikslinę paslaugą, atitinkančią paciento poreikį</w:t>
      </w:r>
      <w:r w:rsidR="00A174B5">
        <w:rPr>
          <w:rFonts w:eastAsia="Tahoma" w:cs="Tahoma"/>
        </w:rPr>
        <w:t>.</w:t>
      </w:r>
    </w:p>
    <w:p w14:paraId="4F801BE1" w14:textId="77777777" w:rsidR="00A1151B" w:rsidRDefault="00A1151B" w:rsidP="004446F6">
      <w:pPr>
        <w:rPr>
          <w:rFonts w:cs="Tahoma"/>
        </w:rPr>
      </w:pPr>
    </w:p>
    <w:p w14:paraId="62CE000F" w14:textId="05C9F9C0" w:rsidR="00B0239A" w:rsidRDefault="00A1151B" w:rsidP="004446F6">
      <w:pPr>
        <w:rPr>
          <w:rFonts w:cs="Tahoma"/>
        </w:rPr>
      </w:pPr>
      <w:r>
        <w:rPr>
          <w:rFonts w:cs="Tahoma"/>
        </w:rPr>
        <w:t>Pavyzdys:</w:t>
      </w:r>
    </w:p>
    <w:p w14:paraId="61F1FD41" w14:textId="77777777" w:rsidR="00A1151B" w:rsidRDefault="00A1151B" w:rsidP="004446F6">
      <w:pPr>
        <w:rPr>
          <w:rFonts w:cs="Tahoma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39A" w14:paraId="74BA6025" w14:textId="77777777" w:rsidTr="00B02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4" w:type="dxa"/>
          </w:tcPr>
          <w:p w14:paraId="01E56CBB" w14:textId="2D0A744A" w:rsidR="00B0239A" w:rsidRDefault="00B0239A" w:rsidP="004446F6">
            <w:pPr>
              <w:rPr>
                <w:rFonts w:cs="Tahoma"/>
              </w:rPr>
            </w:pPr>
            <w:r>
              <w:rPr>
                <w:rFonts w:cs="Tahoma"/>
              </w:rPr>
              <w:t>Senas klasifikatorius</w:t>
            </w:r>
          </w:p>
        </w:tc>
        <w:tc>
          <w:tcPr>
            <w:tcW w:w="4814" w:type="dxa"/>
          </w:tcPr>
          <w:p w14:paraId="5988EB5E" w14:textId="006FE737" w:rsidR="00B0239A" w:rsidRDefault="00B0239A" w:rsidP="00444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Naujas klasifikatorius</w:t>
            </w:r>
          </w:p>
        </w:tc>
      </w:tr>
      <w:tr w:rsidR="00B0239A" w14:paraId="53C7E926" w14:textId="77777777" w:rsidTr="00B02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D076AF9" w14:textId="3A924F98" w:rsidR="00B0239A" w:rsidRPr="00B0239A" w:rsidRDefault="00B0239A" w:rsidP="004446F6">
            <w:pPr>
              <w:rPr>
                <w:rFonts w:cs="Tahoma"/>
                <w:b w:val="0"/>
                <w:bCs w:val="0"/>
              </w:rPr>
            </w:pPr>
            <w:r w:rsidRPr="00B0239A">
              <w:rPr>
                <w:rFonts w:cs="Tahoma"/>
                <w:b w:val="0"/>
                <w:bCs w:val="0"/>
                <w:caps w:val="0"/>
              </w:rPr>
              <w:t>Kardiologija (Suaugusiems)</w:t>
            </w:r>
          </w:p>
        </w:tc>
        <w:tc>
          <w:tcPr>
            <w:tcW w:w="4814" w:type="dxa"/>
          </w:tcPr>
          <w:p w14:paraId="109F8BEE" w14:textId="7687CC30" w:rsidR="00B0239A" w:rsidRDefault="00B0239A" w:rsidP="00444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Kardiologija (Suaugusiems)</w:t>
            </w:r>
            <w:r w:rsidR="00AB3A89">
              <w:rPr>
                <w:rFonts w:cs="Tahoma"/>
              </w:rPr>
              <w:t xml:space="preserve"> </w:t>
            </w:r>
            <w:r w:rsidR="00DD737C" w:rsidRPr="0020197E">
              <w:rPr>
                <w:rFonts w:cs="Tahoma"/>
                <w:i/>
                <w:iCs/>
              </w:rPr>
              <w:t>(</w:t>
            </w:r>
            <w:r w:rsidR="007225BC" w:rsidRPr="0020197E">
              <w:rPr>
                <w:rFonts w:cs="Tahoma"/>
                <w:i/>
                <w:iCs/>
              </w:rPr>
              <w:t xml:space="preserve">Atkreiptinas dėmesys, kad </w:t>
            </w:r>
            <w:r w:rsidR="00DD737C" w:rsidRPr="0020197E">
              <w:rPr>
                <w:rFonts w:cs="Tahoma"/>
                <w:i/>
                <w:iCs/>
              </w:rPr>
              <w:t>laikinai, kol įvyks visos anksčiau suplanuotos registracijos)</w:t>
            </w:r>
          </w:p>
        </w:tc>
      </w:tr>
      <w:tr w:rsidR="00B0239A" w14:paraId="11171D57" w14:textId="77777777" w:rsidTr="00B02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7483FC8" w14:textId="77777777" w:rsidR="00B0239A" w:rsidRDefault="00B0239A" w:rsidP="004446F6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69C3A17D" w14:textId="28F320A1" w:rsidR="00B0239A" w:rsidRDefault="00B0239A" w:rsidP="00444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Kardiologija (Suaugusiems) II lygio</w:t>
            </w:r>
          </w:p>
        </w:tc>
      </w:tr>
      <w:tr w:rsidR="00B0239A" w14:paraId="24C0F4DD" w14:textId="77777777" w:rsidTr="00B02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ECD5FC8" w14:textId="77777777" w:rsidR="00B0239A" w:rsidRDefault="00B0239A" w:rsidP="004446F6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67E058F1" w14:textId="09339907" w:rsidR="00B0239A" w:rsidRDefault="00B0239A" w:rsidP="00444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Kardiologija (Suaugusiems) III lygio</w:t>
            </w:r>
          </w:p>
        </w:tc>
      </w:tr>
    </w:tbl>
    <w:p w14:paraId="411F025E" w14:textId="77777777" w:rsidR="00B0239A" w:rsidRDefault="00B0239A" w:rsidP="004446F6">
      <w:pPr>
        <w:rPr>
          <w:rFonts w:cs="Tahoma"/>
        </w:rPr>
      </w:pPr>
    </w:p>
    <w:p w14:paraId="307E6C09" w14:textId="77777777" w:rsidR="004446F6" w:rsidRDefault="004446F6" w:rsidP="004446F6">
      <w:pPr>
        <w:rPr>
          <w:rFonts w:cs="Tahoma"/>
        </w:rPr>
      </w:pPr>
    </w:p>
    <w:p w14:paraId="65B7762C" w14:textId="0326B121" w:rsidR="00A1151B" w:rsidRPr="00A1151B" w:rsidRDefault="00A1151B" w:rsidP="00A1151B">
      <w:pPr>
        <w:rPr>
          <w:rFonts w:cs="Tahoma"/>
          <w:b/>
          <w:bCs/>
        </w:rPr>
      </w:pPr>
      <w:r w:rsidRPr="0FC08147">
        <w:rPr>
          <w:rFonts w:cs="Tahoma"/>
          <w:b/>
          <w:bCs/>
        </w:rPr>
        <w:t>Svarb</w:t>
      </w:r>
      <w:r w:rsidR="00681B71">
        <w:rPr>
          <w:rFonts w:cs="Tahoma"/>
          <w:b/>
          <w:bCs/>
        </w:rPr>
        <w:t>u</w:t>
      </w:r>
    </w:p>
    <w:p w14:paraId="69FC2DCE" w14:textId="485FF9E0" w:rsidR="00836C46" w:rsidRPr="00A1151B" w:rsidRDefault="003A1345" w:rsidP="0FC08147">
      <w:pPr>
        <w:pStyle w:val="ListParagraph"/>
        <w:numPr>
          <w:ilvl w:val="0"/>
          <w:numId w:val="3"/>
        </w:numPr>
        <w:rPr>
          <w:rFonts w:cs="Tahoma"/>
        </w:rPr>
      </w:pPr>
      <w:r>
        <w:rPr>
          <w:rFonts w:cs="Tahoma"/>
        </w:rPr>
        <w:t>Anksčiau teikiamos paslaugos, kurios turi</w:t>
      </w:r>
      <w:r w:rsidR="00E67857">
        <w:rPr>
          <w:rFonts w:cs="Tahoma"/>
        </w:rPr>
        <w:t xml:space="preserve"> lygius (II ar III lygis) nebuvo suskirstytos klasifikatoriuje pagal lygius, o </w:t>
      </w:r>
      <w:r w:rsidR="00A90E8B">
        <w:rPr>
          <w:rFonts w:cs="Tahoma"/>
        </w:rPr>
        <w:t xml:space="preserve">matomas tik bendras pasirinkimas, pvz.: Kardiologija (Suaugusiems). </w:t>
      </w:r>
      <w:r w:rsidR="00E76015">
        <w:rPr>
          <w:rFonts w:cs="Tahoma"/>
        </w:rPr>
        <w:t xml:space="preserve">Dabar pasirinkimai bus papildyti </w:t>
      </w:r>
      <w:r w:rsidR="000C5409">
        <w:rPr>
          <w:rFonts w:cs="Tahoma"/>
        </w:rPr>
        <w:t xml:space="preserve">lygiais II arba III, o bendrasis pavadinimas išliks laikinai, kol </w:t>
      </w:r>
      <w:r w:rsidR="001F43CC">
        <w:rPr>
          <w:rFonts w:cs="Tahoma"/>
        </w:rPr>
        <w:t xml:space="preserve">įvyks </w:t>
      </w:r>
      <w:r w:rsidR="0001419C">
        <w:rPr>
          <w:rFonts w:cs="Tahoma"/>
        </w:rPr>
        <w:t xml:space="preserve">anksčiau </w:t>
      </w:r>
      <w:r w:rsidR="001F43CC">
        <w:rPr>
          <w:rFonts w:cs="Tahoma"/>
        </w:rPr>
        <w:t>suplanuotos</w:t>
      </w:r>
      <w:r w:rsidR="000C5409">
        <w:rPr>
          <w:rFonts w:cs="Tahoma"/>
        </w:rPr>
        <w:t xml:space="preserve"> konsultacijos.</w:t>
      </w:r>
      <w:r w:rsidR="00512A8E">
        <w:rPr>
          <w:rFonts w:cs="Tahoma"/>
        </w:rPr>
        <w:t xml:space="preserve"> Kitaip tariant, p</w:t>
      </w:r>
      <w:r w:rsidR="00512A8E" w:rsidRPr="0FC08147">
        <w:rPr>
          <w:rFonts w:cs="Tahoma"/>
        </w:rPr>
        <w:t>aslaugos nebus naikinamos, jei joms yra suformuota pacientų eilė</w:t>
      </w:r>
      <w:r w:rsidR="00F83879">
        <w:rPr>
          <w:rFonts w:cs="Tahoma"/>
        </w:rPr>
        <w:t xml:space="preserve"> arba yra užregistruota pacientų.</w:t>
      </w:r>
    </w:p>
    <w:p w14:paraId="7EEA6C9B" w14:textId="7AE5E42A" w:rsidR="00AF5D88" w:rsidRPr="00B2488E" w:rsidRDefault="00A1151B" w:rsidP="00681B71">
      <w:pPr>
        <w:pStyle w:val="ListParagraph"/>
        <w:numPr>
          <w:ilvl w:val="0"/>
          <w:numId w:val="3"/>
        </w:numPr>
      </w:pPr>
      <w:r w:rsidRPr="0FC08147">
        <w:t xml:space="preserve">Vizitus, matomus </w:t>
      </w:r>
      <w:r w:rsidRPr="00681B71">
        <w:t xml:space="preserve">pacientams </w:t>
      </w:r>
      <w:r w:rsidRPr="00B2488E">
        <w:t xml:space="preserve">ar </w:t>
      </w:r>
      <w:r w:rsidRPr="00681B71">
        <w:t>kitoms įstaigoms</w:t>
      </w:r>
      <w:r w:rsidRPr="00B2488E">
        <w:t xml:space="preserve">, kurkite tik </w:t>
      </w:r>
      <w:r w:rsidR="43DA3D09" w:rsidRPr="00681B71">
        <w:t xml:space="preserve">naujoms </w:t>
      </w:r>
      <w:r w:rsidRPr="00B2488E">
        <w:t>paslaugoms su nurodytais lygiais.</w:t>
      </w:r>
      <w:r w:rsidR="00AF5D88" w:rsidRPr="00B2488E">
        <w:t xml:space="preserve"> </w:t>
      </w:r>
    </w:p>
    <w:p w14:paraId="069D4F15" w14:textId="21818830" w:rsidR="00836C46" w:rsidRPr="00836C46" w:rsidRDefault="00836C46" w:rsidP="00681B71">
      <w:pPr>
        <w:pStyle w:val="ListParagraph"/>
        <w:numPr>
          <w:ilvl w:val="0"/>
          <w:numId w:val="5"/>
        </w:numPr>
        <w:rPr>
          <w:rFonts w:cs="Tahoma"/>
        </w:rPr>
      </w:pPr>
      <w:r>
        <w:rPr>
          <w:rFonts w:cs="Tahoma"/>
        </w:rPr>
        <w:t xml:space="preserve">III lygio paslaugas rekomenduojama kurti su </w:t>
      </w:r>
      <w:r w:rsidR="00271E08">
        <w:rPr>
          <w:rFonts w:cs="Tahoma"/>
        </w:rPr>
        <w:t>matomumo požymiu</w:t>
      </w:r>
      <w:r w:rsidR="006E1987">
        <w:rPr>
          <w:rFonts w:cs="Tahoma"/>
        </w:rPr>
        <w:t xml:space="preserve"> „V“, kur</w:t>
      </w:r>
      <w:r w:rsidR="00F513CC">
        <w:rPr>
          <w:rFonts w:cs="Tahoma"/>
        </w:rPr>
        <w:t>ias</w:t>
      </w:r>
      <w:r w:rsidR="006E1987">
        <w:rPr>
          <w:rFonts w:cs="Tahoma"/>
        </w:rPr>
        <w:t xml:space="preserve"> mat</w:t>
      </w:r>
      <w:r w:rsidR="00F513CC">
        <w:rPr>
          <w:rFonts w:cs="Tahoma"/>
        </w:rPr>
        <w:t>ys</w:t>
      </w:r>
      <w:r w:rsidR="006E1987">
        <w:rPr>
          <w:rFonts w:cs="Tahoma"/>
        </w:rPr>
        <w:t xml:space="preserve"> visų gydymo įstaigų </w:t>
      </w:r>
      <w:r w:rsidR="003D2DEB">
        <w:rPr>
          <w:rFonts w:cs="Tahoma"/>
        </w:rPr>
        <w:t>darbuotoja</w:t>
      </w:r>
      <w:r w:rsidR="00993FB3">
        <w:rPr>
          <w:rFonts w:cs="Tahoma"/>
        </w:rPr>
        <w:t>i</w:t>
      </w:r>
      <w:r w:rsidR="003D2DEB">
        <w:rPr>
          <w:rFonts w:cs="Tahoma"/>
        </w:rPr>
        <w:t xml:space="preserve">, tačiau </w:t>
      </w:r>
      <w:r w:rsidR="00993FB3">
        <w:rPr>
          <w:rFonts w:cs="Tahoma"/>
        </w:rPr>
        <w:t>nematys</w:t>
      </w:r>
      <w:r w:rsidR="003D2DEB">
        <w:rPr>
          <w:rFonts w:cs="Tahoma"/>
        </w:rPr>
        <w:t xml:space="preserve"> </w:t>
      </w:r>
      <w:r w:rsidR="0024384C">
        <w:rPr>
          <w:rFonts w:cs="Tahoma"/>
        </w:rPr>
        <w:t>pacienta</w:t>
      </w:r>
      <w:r w:rsidR="00993FB3">
        <w:rPr>
          <w:rFonts w:cs="Tahoma"/>
        </w:rPr>
        <w:t>i</w:t>
      </w:r>
      <w:r w:rsidR="00281CE4">
        <w:rPr>
          <w:rFonts w:cs="Tahoma"/>
        </w:rPr>
        <w:t>. Tai leis</w:t>
      </w:r>
      <w:r w:rsidR="0024384C">
        <w:rPr>
          <w:rFonts w:cs="Tahoma"/>
        </w:rPr>
        <w:t xml:space="preserve"> </w:t>
      </w:r>
      <w:r w:rsidR="006871D1">
        <w:rPr>
          <w:rFonts w:cs="Tahoma"/>
        </w:rPr>
        <w:t>į III lygio paslaugas užregistruoti pacientus iškart</w:t>
      </w:r>
      <w:r w:rsidR="00C14B5B">
        <w:rPr>
          <w:rFonts w:cs="Tahoma"/>
        </w:rPr>
        <w:t xml:space="preserve"> po siuntimo išrašymo</w:t>
      </w:r>
      <w:r w:rsidR="00980B21">
        <w:rPr>
          <w:rFonts w:cs="Tahoma"/>
        </w:rPr>
        <w:t xml:space="preserve"> bei</w:t>
      </w:r>
      <w:r w:rsidR="00DB368F">
        <w:rPr>
          <w:rFonts w:cs="Tahoma"/>
        </w:rPr>
        <w:t xml:space="preserve"> užtik</w:t>
      </w:r>
      <w:r w:rsidR="00980B21">
        <w:rPr>
          <w:rFonts w:cs="Tahoma"/>
        </w:rPr>
        <w:t>rinti tinkamą registraciją.</w:t>
      </w:r>
      <w:r w:rsidR="00C14B5B">
        <w:rPr>
          <w:rFonts w:cs="Tahoma"/>
        </w:rPr>
        <w:t xml:space="preserve"> </w:t>
      </w:r>
    </w:p>
    <w:p w14:paraId="3D9AD1F8" w14:textId="1B5C52AC" w:rsidR="00CB5B03" w:rsidRPr="009463C7" w:rsidRDefault="0046417B" w:rsidP="00CB5B03">
      <w:pPr>
        <w:pStyle w:val="ListParagraph"/>
        <w:numPr>
          <w:ilvl w:val="0"/>
          <w:numId w:val="3"/>
        </w:numPr>
        <w:rPr>
          <w:rFonts w:cs="Tahoma"/>
        </w:rPr>
      </w:pPr>
      <w:r w:rsidRPr="0046417B">
        <w:rPr>
          <w:rFonts w:cs="Tahoma"/>
        </w:rPr>
        <w:t xml:space="preserve">Pacientus registruokite tik į naujai susiformavusias eiles (su nurodytu lygiu), kai paslaugai yra sukurti II ar III lygio atitikmenys. Naujų pacientų neregistruokite į eiles tų paslaugų be lygio, kurios planuojamos naikinti. Atkreipiame dėmesį, kad kai kurios paslaugos ir toliau liks be lygio </w:t>
      </w:r>
      <w:r>
        <w:rPr>
          <w:rFonts w:cs="Tahoma"/>
        </w:rPr>
        <w:t>-</w:t>
      </w:r>
      <w:r w:rsidRPr="0046417B">
        <w:rPr>
          <w:rFonts w:cs="Tahoma"/>
        </w:rPr>
        <w:t xml:space="preserve"> tokioms paslaugoms registracija vykdoma įprasta tvarka.</w:t>
      </w:r>
      <w:r w:rsidR="009A1B68">
        <w:rPr>
          <w:rFonts w:cs="Tahoma"/>
        </w:rPr>
        <w:t xml:space="preserve"> </w:t>
      </w:r>
      <w:r w:rsidR="00AE7D1C" w:rsidRPr="00AE7D1C">
        <w:rPr>
          <w:rFonts w:cs="Tahoma"/>
        </w:rPr>
        <w:t>Esamų vizitų, kurie jau sukurti paslaugoms be nurodyto lygio, koreguoti ar trinti nereikia. Į šiuos vizitus pacientai ir toliau gali būti registruojami, kol jie pasibaigs. Jie gali būti naudojami registracijai iš jau suformuotų eilių.</w:t>
      </w:r>
    </w:p>
    <w:p w14:paraId="3FED44EF" w14:textId="7DA2AAA8" w:rsidR="4825C68E" w:rsidRDefault="4825C68E" w:rsidP="009463C7">
      <w:pPr>
        <w:pStyle w:val="ListParagraph"/>
        <w:numPr>
          <w:ilvl w:val="0"/>
          <w:numId w:val="3"/>
        </w:numPr>
      </w:pPr>
      <w:r w:rsidRPr="00BD2FF5">
        <w:t xml:space="preserve">Naujai įvestoms paslaugoms naujos eilės IPR sistemoje formuosis įprasta tvarka, </w:t>
      </w:r>
      <w:r w:rsidR="00EF291A" w:rsidRPr="00BD2FF5">
        <w:t xml:space="preserve">kuomet </w:t>
      </w:r>
      <w:r w:rsidRPr="00BD2FF5">
        <w:t xml:space="preserve">bus sugeneruoti vizitai į priekį ir visi jie bus užimti. </w:t>
      </w:r>
    </w:p>
    <w:p w14:paraId="66D84DE0" w14:textId="3DDD5723" w:rsidR="001C7A26" w:rsidRDefault="001C7A26" w:rsidP="009463C7">
      <w:pPr>
        <w:pStyle w:val="ListParagraph"/>
        <w:numPr>
          <w:ilvl w:val="0"/>
          <w:numId w:val="3"/>
        </w:numPr>
      </w:pPr>
      <w:r>
        <w:t xml:space="preserve">Atkreiptinas dėmesys, kad </w:t>
      </w:r>
      <w:r w:rsidR="00255E02">
        <w:t xml:space="preserve">nuo 2025 m. </w:t>
      </w:r>
      <w:r w:rsidR="00AE328C">
        <w:t>lapkričio</w:t>
      </w:r>
      <w:r w:rsidR="00255E02">
        <w:t xml:space="preserve"> mėn. </w:t>
      </w:r>
      <w:r w:rsidR="00CE7543">
        <w:t xml:space="preserve">po </w:t>
      </w:r>
      <w:r w:rsidR="00F2793D">
        <w:t>ESPBI IS plėtros</w:t>
      </w:r>
      <w:r w:rsidR="00255E02">
        <w:t xml:space="preserve"> pakeitimų, keisis e. siuntimo duomenų rinkinys, kuriame privaloma bus </w:t>
      </w:r>
      <w:r w:rsidR="00315197">
        <w:t>nurodyti paslaugą iš IPR IS klasifikatoriaus</w:t>
      </w:r>
      <w:r w:rsidR="00DE7613">
        <w:t>.</w:t>
      </w:r>
    </w:p>
    <w:p w14:paraId="136E03CE" w14:textId="28892A55" w:rsidR="00924B83" w:rsidRDefault="00924B83" w:rsidP="009463C7">
      <w:pPr>
        <w:pStyle w:val="ListParagraph"/>
        <w:numPr>
          <w:ilvl w:val="0"/>
          <w:numId w:val="3"/>
        </w:numPr>
      </w:pPr>
      <w:r w:rsidRPr="00924B83">
        <w:t>Siekiant panaikinti eil</w:t>
      </w:r>
      <w:r w:rsidR="00AA7937">
        <w:t>es</w:t>
      </w:r>
      <w:r w:rsidRPr="00924B83">
        <w:t xml:space="preserve"> paslaug</w:t>
      </w:r>
      <w:r>
        <w:t>oms be</w:t>
      </w:r>
      <w:r w:rsidRPr="00924B83">
        <w:t xml:space="preserve"> </w:t>
      </w:r>
      <w:r w:rsidR="00F04FEC">
        <w:t xml:space="preserve">nurodyto </w:t>
      </w:r>
      <w:r w:rsidRPr="00924B83">
        <w:t>lygio</w:t>
      </w:r>
      <w:r w:rsidR="00F04FEC">
        <w:t xml:space="preserve"> (</w:t>
      </w:r>
      <w:r w:rsidR="00F04FEC" w:rsidRPr="0046417B">
        <w:rPr>
          <w:rFonts w:cs="Tahoma"/>
        </w:rPr>
        <w:t>kai paslaugai yra sukurti II ar III lygio atitikmenys</w:t>
      </w:r>
      <w:r w:rsidR="00F04FEC">
        <w:t>)</w:t>
      </w:r>
      <w:r w:rsidRPr="00924B83">
        <w:t xml:space="preserve">, kurį laiką reikės kurti vizitus ir </w:t>
      </w:r>
      <w:r>
        <w:t>šioms</w:t>
      </w:r>
      <w:r w:rsidRPr="00924B83">
        <w:t xml:space="preserve"> paslaug</w:t>
      </w:r>
      <w:r>
        <w:t>oms</w:t>
      </w:r>
      <w:r w:rsidR="00F04FEC">
        <w:t xml:space="preserve"> (be nurodyto lygio)</w:t>
      </w:r>
      <w:r w:rsidRPr="00924B83">
        <w:t>.</w:t>
      </w:r>
      <w:r w:rsidR="00CF17EF">
        <w:t xml:space="preserve"> </w:t>
      </w:r>
      <w:r w:rsidR="00F02F13">
        <w:t>Sukurtų v</w:t>
      </w:r>
      <w:r w:rsidR="00CF17EF" w:rsidRPr="109E5A23">
        <w:rPr>
          <w:rFonts w:cs="Tahoma"/>
        </w:rPr>
        <w:t>izitų skaičius turi atitikti pacientų skaičių esamoje eilėje.</w:t>
      </w:r>
    </w:p>
    <w:p w14:paraId="7C642A4E" w14:textId="77777777" w:rsidR="00F7171A" w:rsidRDefault="00F7171A" w:rsidP="00F7171A">
      <w:pPr>
        <w:rPr>
          <w:rFonts w:cs="Tahoma"/>
          <w:b/>
          <w:bCs/>
        </w:rPr>
      </w:pPr>
    </w:p>
    <w:p w14:paraId="2CDE4D6E" w14:textId="6E1D7D7E" w:rsidR="00F7171A" w:rsidRPr="00352849" w:rsidRDefault="00F7171A" w:rsidP="00F7171A">
      <w:pPr>
        <w:rPr>
          <w:rFonts w:cs="Tahoma"/>
        </w:rPr>
      </w:pPr>
      <w:r w:rsidRPr="109E5A23">
        <w:rPr>
          <w:rFonts w:cs="Tahoma"/>
          <w:b/>
          <w:bCs/>
        </w:rPr>
        <w:t>Pavyzdys</w:t>
      </w:r>
    </w:p>
    <w:p w14:paraId="17B30FBD" w14:textId="0793AE87" w:rsidR="00F7171A" w:rsidRPr="00352849" w:rsidRDefault="00F7171A" w:rsidP="00F7171A">
      <w:pPr>
        <w:rPr>
          <w:rFonts w:cs="Tahoma"/>
        </w:rPr>
      </w:pPr>
      <w:r w:rsidRPr="713CD96D">
        <w:rPr>
          <w:rFonts w:cs="Tahoma"/>
        </w:rPr>
        <w:t>Dabar yra paslauga  Kardiologija (Suaugusiems), kuriai yra suformuota pacientų eilė.</w:t>
      </w:r>
      <w:r>
        <w:br/>
      </w:r>
      <w:r w:rsidRPr="713CD96D">
        <w:rPr>
          <w:rFonts w:cs="Tahoma"/>
        </w:rPr>
        <w:t>Nuo 2025-</w:t>
      </w:r>
      <w:r w:rsidR="00AE328C">
        <w:rPr>
          <w:rFonts w:cs="Tahoma"/>
        </w:rPr>
        <w:t>10</w:t>
      </w:r>
      <w:r w:rsidRPr="713CD96D">
        <w:rPr>
          <w:rFonts w:cs="Tahoma"/>
        </w:rPr>
        <w:t>-</w:t>
      </w:r>
      <w:r w:rsidR="00AE328C">
        <w:rPr>
          <w:rFonts w:cs="Tahoma"/>
        </w:rPr>
        <w:t>22</w:t>
      </w:r>
      <w:r w:rsidRPr="713CD96D">
        <w:rPr>
          <w:rFonts w:cs="Tahoma"/>
        </w:rPr>
        <w:t> atsiras dvi naujos paslaugos:</w:t>
      </w:r>
    </w:p>
    <w:p w14:paraId="4B6F8D11" w14:textId="77777777" w:rsidR="00F7171A" w:rsidRPr="00352849" w:rsidRDefault="00F7171A" w:rsidP="00F7171A">
      <w:pPr>
        <w:numPr>
          <w:ilvl w:val="0"/>
          <w:numId w:val="6"/>
        </w:numPr>
        <w:rPr>
          <w:rFonts w:cs="Tahoma"/>
        </w:rPr>
      </w:pPr>
      <w:r w:rsidRPr="713CD96D">
        <w:rPr>
          <w:rFonts w:cs="Tahoma"/>
        </w:rPr>
        <w:t>Kardiologija (Suaugusiems) II lygio</w:t>
      </w:r>
    </w:p>
    <w:p w14:paraId="1183A2FD" w14:textId="77777777" w:rsidR="00F7171A" w:rsidRPr="00352849" w:rsidRDefault="00F7171A" w:rsidP="00F7171A">
      <w:pPr>
        <w:numPr>
          <w:ilvl w:val="0"/>
          <w:numId w:val="6"/>
        </w:numPr>
        <w:rPr>
          <w:rFonts w:cs="Tahoma"/>
        </w:rPr>
      </w:pPr>
      <w:r w:rsidRPr="713CD96D">
        <w:rPr>
          <w:rFonts w:cs="Tahoma"/>
        </w:rPr>
        <w:t>Kardiologija (Suaugusiems) III lygio</w:t>
      </w:r>
    </w:p>
    <w:p w14:paraId="02108746" w14:textId="77777777" w:rsidR="00F7171A" w:rsidRDefault="00F7171A" w:rsidP="00F7171A">
      <w:pPr>
        <w:rPr>
          <w:rFonts w:cs="Tahoma"/>
        </w:rPr>
      </w:pPr>
      <w:r w:rsidRPr="109E5A23">
        <w:rPr>
          <w:rFonts w:cs="Tahoma"/>
        </w:rPr>
        <w:lastRenderedPageBreak/>
        <w:t>Šioms naujoms paslaugoms eilės IPR sistemoje formuosis įprasta tvarka, kai bus sukurti vizitai, kurie visi bus užimti.</w:t>
      </w:r>
    </w:p>
    <w:p w14:paraId="0DC9B3DA" w14:textId="71ADC172" w:rsidR="005E7B40" w:rsidRPr="00352849" w:rsidRDefault="00C07A1E" w:rsidP="00F7171A">
      <w:pPr>
        <w:rPr>
          <w:rFonts w:cs="Tahoma"/>
        </w:rPr>
      </w:pPr>
      <w:r>
        <w:rPr>
          <w:rFonts w:cs="Tahoma"/>
        </w:rPr>
        <w:t>Paslaugai be lygio (kuri</w:t>
      </w:r>
      <w:r w:rsidR="00746E49">
        <w:rPr>
          <w:rFonts w:cs="Tahoma"/>
        </w:rPr>
        <w:t xml:space="preserve"> bus naikinama)</w:t>
      </w:r>
      <w:r>
        <w:rPr>
          <w:rFonts w:cs="Tahoma"/>
        </w:rPr>
        <w:t xml:space="preserve"> reikia sukurti tiek vizitų, kurių skaičius atitiktų pacientų skaičių esamoje eilėje.</w:t>
      </w:r>
    </w:p>
    <w:p w14:paraId="686F22D2" w14:textId="0570C1F7" w:rsidR="009A1B68" w:rsidRDefault="00F7171A" w:rsidP="00A1151B">
      <w:pPr>
        <w:rPr>
          <w:rFonts w:cs="Tahoma"/>
          <w:b/>
          <w:bCs/>
        </w:rPr>
      </w:pPr>
      <w:r>
        <w:br/>
      </w:r>
    </w:p>
    <w:p w14:paraId="36009EF5" w14:textId="1C0CE7D6" w:rsidR="00A1151B" w:rsidRDefault="00A1151B" w:rsidP="00A1151B">
      <w:pPr>
        <w:rPr>
          <w:rFonts w:cs="Tahoma"/>
          <w:b/>
          <w:bCs/>
        </w:rPr>
      </w:pPr>
      <w:r w:rsidRPr="0FC08147">
        <w:rPr>
          <w:rFonts w:cs="Tahoma"/>
          <w:b/>
          <w:bCs/>
        </w:rPr>
        <w:t>Jei paslauga turės tik vieną lygį (II arba III)</w:t>
      </w:r>
    </w:p>
    <w:p w14:paraId="17AA7231" w14:textId="40747576" w:rsidR="54E425F6" w:rsidRDefault="54E425F6" w:rsidP="0FC08147">
      <w:pPr>
        <w:pStyle w:val="ListParagraph"/>
        <w:numPr>
          <w:ilvl w:val="0"/>
          <w:numId w:val="1"/>
        </w:numPr>
        <w:rPr>
          <w:rFonts w:cs="Tahoma"/>
        </w:rPr>
      </w:pPr>
      <w:r w:rsidRPr="0FC08147">
        <w:rPr>
          <w:rFonts w:cs="Tahoma"/>
        </w:rPr>
        <w:t>Nauja atskira paslauga klasifikatoriuje nebus kuriama, vietoje to bus pakeistas esamos paslaugos pavadinimas, papildant jį nurodytu lygiu.</w:t>
      </w:r>
    </w:p>
    <w:p w14:paraId="05E9DE85" w14:textId="77777777" w:rsidR="00A1151B" w:rsidRPr="00A1151B" w:rsidRDefault="00A1151B" w:rsidP="00A1151B">
      <w:pPr>
        <w:pStyle w:val="ListParagraph"/>
        <w:rPr>
          <w:rFonts w:cs="Tahoma"/>
          <w:b/>
          <w:bCs/>
        </w:rPr>
      </w:pPr>
    </w:p>
    <w:p w14:paraId="5B9CC8CA" w14:textId="7FB9F2C7" w:rsidR="00B0239A" w:rsidRDefault="00A1151B" w:rsidP="004446F6">
      <w:pPr>
        <w:rPr>
          <w:rFonts w:cs="Tahoma"/>
        </w:rPr>
      </w:pPr>
      <w:r>
        <w:rPr>
          <w:rFonts w:cs="Tahoma"/>
        </w:rPr>
        <w:t>Pavyzdys:</w:t>
      </w:r>
    </w:p>
    <w:p w14:paraId="71415FF3" w14:textId="77777777" w:rsidR="00A1151B" w:rsidRDefault="00A1151B" w:rsidP="004446F6">
      <w:pPr>
        <w:rPr>
          <w:rFonts w:cs="Tahoma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39A" w14:paraId="7429651A" w14:textId="77777777" w:rsidTr="00B02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4" w:type="dxa"/>
          </w:tcPr>
          <w:p w14:paraId="4F6E1CB5" w14:textId="656C7278" w:rsidR="00B0239A" w:rsidRDefault="00B0239A" w:rsidP="004446F6">
            <w:pPr>
              <w:rPr>
                <w:rFonts w:cs="Tahoma"/>
              </w:rPr>
            </w:pPr>
            <w:r>
              <w:rPr>
                <w:rFonts w:cs="Tahoma"/>
              </w:rPr>
              <w:t>Senas klasifikatorius</w:t>
            </w:r>
          </w:p>
        </w:tc>
        <w:tc>
          <w:tcPr>
            <w:tcW w:w="4814" w:type="dxa"/>
          </w:tcPr>
          <w:p w14:paraId="4E50285D" w14:textId="4231517C" w:rsidR="00B0239A" w:rsidRDefault="00B0239A" w:rsidP="00444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Naujas klasifikatorius</w:t>
            </w:r>
          </w:p>
        </w:tc>
      </w:tr>
      <w:tr w:rsidR="00B0239A" w14:paraId="03280844" w14:textId="77777777" w:rsidTr="00B02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318972B" w14:textId="707B5A1D" w:rsidR="00B0239A" w:rsidRPr="00B0239A" w:rsidRDefault="00B0239A" w:rsidP="004446F6">
            <w:pPr>
              <w:rPr>
                <w:rFonts w:cs="Tahoma"/>
                <w:b w:val="0"/>
                <w:bCs w:val="0"/>
              </w:rPr>
            </w:pPr>
            <w:r w:rsidRPr="00B0239A">
              <w:rPr>
                <w:rFonts w:cs="Tahoma"/>
                <w:b w:val="0"/>
                <w:bCs w:val="0"/>
                <w:caps w:val="0"/>
              </w:rPr>
              <w:t>Akušerija ir ginekologija (Moters lyties organų onkologinės ligos)</w:t>
            </w:r>
          </w:p>
        </w:tc>
        <w:tc>
          <w:tcPr>
            <w:tcW w:w="4814" w:type="dxa"/>
          </w:tcPr>
          <w:p w14:paraId="116C4F39" w14:textId="29B74EBF" w:rsidR="00B0239A" w:rsidRDefault="00B0239A" w:rsidP="00444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 w:rsidRPr="007A0B2A">
              <w:rPr>
                <w:rFonts w:cs="Tahoma"/>
              </w:rPr>
              <w:t>Akušerija ir ginekologija (Moters lyties organų onkologinės ligos)</w:t>
            </w:r>
            <w:r>
              <w:rPr>
                <w:rFonts w:cs="Tahoma"/>
              </w:rPr>
              <w:t xml:space="preserve"> III lygio</w:t>
            </w:r>
          </w:p>
        </w:tc>
      </w:tr>
    </w:tbl>
    <w:p w14:paraId="47065CC6" w14:textId="77777777" w:rsidR="00B0239A" w:rsidRDefault="00B0239A" w:rsidP="004446F6">
      <w:pPr>
        <w:rPr>
          <w:rFonts w:cs="Tahoma"/>
        </w:rPr>
      </w:pPr>
    </w:p>
    <w:p w14:paraId="33A3F483" w14:textId="77777777" w:rsidR="007A0B2A" w:rsidRDefault="007A0B2A" w:rsidP="004446F6">
      <w:pPr>
        <w:rPr>
          <w:rFonts w:cs="Tahoma"/>
        </w:rPr>
      </w:pPr>
    </w:p>
    <w:p w14:paraId="6BFC05C4" w14:textId="4BB8C173" w:rsidR="007A0B2A" w:rsidRDefault="0B629DEA" w:rsidP="004446F6">
      <w:pPr>
        <w:rPr>
          <w:rFonts w:cs="Tahoma"/>
        </w:rPr>
      </w:pPr>
      <w:r w:rsidRPr="0FC08147">
        <w:rPr>
          <w:rFonts w:cs="Tahoma"/>
        </w:rPr>
        <w:t>Š</w:t>
      </w:r>
      <w:r w:rsidRPr="0FC08147">
        <w:rPr>
          <w:rFonts w:eastAsia="Tahoma" w:cs="Tahoma"/>
        </w:rPr>
        <w:t>iuo atveju nei pacientų eilės, nei vizitų generavimas nesikeis. Visi jau egzistuojantys vizitai ir eilės išliks susieti su atnaujintu paslaugos pavadinimu, todėl papildomų veiksmų</w:t>
      </w:r>
      <w:r w:rsidR="00C23EFB">
        <w:rPr>
          <w:rFonts w:eastAsia="Tahoma" w:cs="Tahoma"/>
        </w:rPr>
        <w:t xml:space="preserve"> atlikti nereikia.</w:t>
      </w:r>
      <w:r w:rsidRPr="0FC08147">
        <w:rPr>
          <w:rFonts w:eastAsia="Tahoma" w:cs="Tahoma"/>
        </w:rPr>
        <w:t xml:space="preserve"> </w:t>
      </w:r>
    </w:p>
    <w:p w14:paraId="17125D3F" w14:textId="76CF58FC" w:rsidR="004446F6" w:rsidRDefault="004446F6" w:rsidP="00352849">
      <w:pPr>
        <w:rPr>
          <w:rFonts w:cs="Tahoma"/>
        </w:rPr>
      </w:pPr>
    </w:p>
    <w:p w14:paraId="5E681DEF" w14:textId="3E60C930" w:rsidR="00352849" w:rsidRPr="00F350AC" w:rsidRDefault="00352849" w:rsidP="00352849">
      <w:pPr>
        <w:rPr>
          <w:rFonts w:cs="Tahoma"/>
        </w:rPr>
      </w:pPr>
    </w:p>
    <w:sectPr w:rsidR="00352849" w:rsidRPr="00F350AC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0F8D" w14:textId="77777777" w:rsidR="00DD5F06" w:rsidRDefault="00DD5F06" w:rsidP="00DD3A79">
      <w:r>
        <w:separator/>
      </w:r>
    </w:p>
  </w:endnote>
  <w:endnote w:type="continuationSeparator" w:id="0">
    <w:p w14:paraId="2D8A3CE4" w14:textId="77777777" w:rsidR="00DD5F06" w:rsidRDefault="00DD5F06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0EBC" w14:textId="77777777" w:rsidR="00DD5F06" w:rsidRDefault="00DD5F06" w:rsidP="00DD3A79">
      <w:r>
        <w:separator/>
      </w:r>
    </w:p>
  </w:footnote>
  <w:footnote w:type="continuationSeparator" w:id="0">
    <w:p w14:paraId="1E129CC7" w14:textId="77777777" w:rsidR="00DD5F06" w:rsidRDefault="00DD5F06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51E639D8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0845EF7C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42D3"/>
    <w:multiLevelType w:val="hybridMultilevel"/>
    <w:tmpl w:val="5D701FB6"/>
    <w:lvl w:ilvl="0" w:tplc="016E1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0F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29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64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60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4E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6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C8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13E64"/>
    <w:multiLevelType w:val="multilevel"/>
    <w:tmpl w:val="CB0A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590AD6"/>
    <w:multiLevelType w:val="hybridMultilevel"/>
    <w:tmpl w:val="4000B4C0"/>
    <w:lvl w:ilvl="0" w:tplc="9ED28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E9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6E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01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62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85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D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E4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46425"/>
    <w:multiLevelType w:val="hybridMultilevel"/>
    <w:tmpl w:val="3E5CDA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F1E30"/>
    <w:multiLevelType w:val="hybridMultilevel"/>
    <w:tmpl w:val="CB0AE5EA"/>
    <w:lvl w:ilvl="0" w:tplc="76E48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E077F0"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B75260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F4A1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B888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1C0B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C92A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221D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1C0B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931FD8"/>
    <w:multiLevelType w:val="multilevel"/>
    <w:tmpl w:val="9CA4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478364">
    <w:abstractNumId w:val="2"/>
  </w:num>
  <w:num w:numId="2" w16cid:durableId="889848467">
    <w:abstractNumId w:val="0"/>
  </w:num>
  <w:num w:numId="3" w16cid:durableId="61569395">
    <w:abstractNumId w:val="4"/>
  </w:num>
  <w:num w:numId="4" w16cid:durableId="1054112931">
    <w:abstractNumId w:val="1"/>
  </w:num>
  <w:num w:numId="5" w16cid:durableId="172451412">
    <w:abstractNumId w:val="3"/>
  </w:num>
  <w:num w:numId="6" w16cid:durableId="1328679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F6"/>
    <w:rsid w:val="0001419C"/>
    <w:rsid w:val="00022902"/>
    <w:rsid w:val="000419CC"/>
    <w:rsid w:val="000611A3"/>
    <w:rsid w:val="00066934"/>
    <w:rsid w:val="000867EC"/>
    <w:rsid w:val="000A22B9"/>
    <w:rsid w:val="000A3679"/>
    <w:rsid w:val="000C5409"/>
    <w:rsid w:val="000C7781"/>
    <w:rsid w:val="000D1374"/>
    <w:rsid w:val="000D3702"/>
    <w:rsid w:val="000E0B64"/>
    <w:rsid w:val="000F346C"/>
    <w:rsid w:val="00100D98"/>
    <w:rsid w:val="00102FB1"/>
    <w:rsid w:val="00147885"/>
    <w:rsid w:val="001C7A26"/>
    <w:rsid w:val="001D12AD"/>
    <w:rsid w:val="001F43CC"/>
    <w:rsid w:val="0020197E"/>
    <w:rsid w:val="00230918"/>
    <w:rsid w:val="002375A0"/>
    <w:rsid w:val="0024197C"/>
    <w:rsid w:val="0024384C"/>
    <w:rsid w:val="0025545A"/>
    <w:rsid w:val="00255E02"/>
    <w:rsid w:val="0026175E"/>
    <w:rsid w:val="00271E08"/>
    <w:rsid w:val="0027532E"/>
    <w:rsid w:val="00281CE4"/>
    <w:rsid w:val="002A3FED"/>
    <w:rsid w:val="002A7375"/>
    <w:rsid w:val="002C30AF"/>
    <w:rsid w:val="002C5767"/>
    <w:rsid w:val="00306B44"/>
    <w:rsid w:val="00315197"/>
    <w:rsid w:val="00344CE3"/>
    <w:rsid w:val="00352849"/>
    <w:rsid w:val="003828D4"/>
    <w:rsid w:val="003A1345"/>
    <w:rsid w:val="003C7F31"/>
    <w:rsid w:val="003D2DEB"/>
    <w:rsid w:val="003E48E6"/>
    <w:rsid w:val="00437676"/>
    <w:rsid w:val="004446F6"/>
    <w:rsid w:val="0046417B"/>
    <w:rsid w:val="004963B7"/>
    <w:rsid w:val="004A4823"/>
    <w:rsid w:val="004B102E"/>
    <w:rsid w:val="004B4287"/>
    <w:rsid w:val="004D478C"/>
    <w:rsid w:val="004E6E01"/>
    <w:rsid w:val="004F631A"/>
    <w:rsid w:val="004F64F2"/>
    <w:rsid w:val="00512A8E"/>
    <w:rsid w:val="005A515B"/>
    <w:rsid w:val="005E7B40"/>
    <w:rsid w:val="005F3AA1"/>
    <w:rsid w:val="005F749C"/>
    <w:rsid w:val="006404BF"/>
    <w:rsid w:val="006417D0"/>
    <w:rsid w:val="006675C8"/>
    <w:rsid w:val="00672D56"/>
    <w:rsid w:val="00681B71"/>
    <w:rsid w:val="006871D1"/>
    <w:rsid w:val="006B6A5B"/>
    <w:rsid w:val="006C7ED3"/>
    <w:rsid w:val="006D6A9E"/>
    <w:rsid w:val="006E05E7"/>
    <w:rsid w:val="006E1987"/>
    <w:rsid w:val="007225BC"/>
    <w:rsid w:val="00737366"/>
    <w:rsid w:val="00746E49"/>
    <w:rsid w:val="00774890"/>
    <w:rsid w:val="007777D6"/>
    <w:rsid w:val="007828A2"/>
    <w:rsid w:val="007872A3"/>
    <w:rsid w:val="00791880"/>
    <w:rsid w:val="007A0B2A"/>
    <w:rsid w:val="00806964"/>
    <w:rsid w:val="00811B04"/>
    <w:rsid w:val="008148E5"/>
    <w:rsid w:val="00831D9C"/>
    <w:rsid w:val="00836C46"/>
    <w:rsid w:val="0084260D"/>
    <w:rsid w:val="008435F7"/>
    <w:rsid w:val="008F43EB"/>
    <w:rsid w:val="008FC48C"/>
    <w:rsid w:val="00924B83"/>
    <w:rsid w:val="00942999"/>
    <w:rsid w:val="009463C7"/>
    <w:rsid w:val="00980B21"/>
    <w:rsid w:val="00993FB3"/>
    <w:rsid w:val="009A1B68"/>
    <w:rsid w:val="009A37AF"/>
    <w:rsid w:val="009D2EFA"/>
    <w:rsid w:val="009D4FA0"/>
    <w:rsid w:val="009E723B"/>
    <w:rsid w:val="009E74D7"/>
    <w:rsid w:val="00A1151B"/>
    <w:rsid w:val="00A12DFB"/>
    <w:rsid w:val="00A13C15"/>
    <w:rsid w:val="00A174B5"/>
    <w:rsid w:val="00A90E8B"/>
    <w:rsid w:val="00AA7937"/>
    <w:rsid w:val="00AB00C5"/>
    <w:rsid w:val="00AB3A89"/>
    <w:rsid w:val="00AB57A3"/>
    <w:rsid w:val="00AC25AC"/>
    <w:rsid w:val="00AE328C"/>
    <w:rsid w:val="00AE7D1C"/>
    <w:rsid w:val="00AF0305"/>
    <w:rsid w:val="00AF27A6"/>
    <w:rsid w:val="00AF5D88"/>
    <w:rsid w:val="00B0239A"/>
    <w:rsid w:val="00B2488E"/>
    <w:rsid w:val="00B316AE"/>
    <w:rsid w:val="00B40AC7"/>
    <w:rsid w:val="00B57AB1"/>
    <w:rsid w:val="00B72623"/>
    <w:rsid w:val="00B76466"/>
    <w:rsid w:val="00B944A1"/>
    <w:rsid w:val="00BD2FF5"/>
    <w:rsid w:val="00BF2EE2"/>
    <w:rsid w:val="00C07A1E"/>
    <w:rsid w:val="00C14B5B"/>
    <w:rsid w:val="00C23EFB"/>
    <w:rsid w:val="00CA5270"/>
    <w:rsid w:val="00CB0D1E"/>
    <w:rsid w:val="00CB5B03"/>
    <w:rsid w:val="00CE0C7B"/>
    <w:rsid w:val="00CE7543"/>
    <w:rsid w:val="00CF17EF"/>
    <w:rsid w:val="00D0541C"/>
    <w:rsid w:val="00D05528"/>
    <w:rsid w:val="00D441CB"/>
    <w:rsid w:val="00D83E20"/>
    <w:rsid w:val="00D97843"/>
    <w:rsid w:val="00DA5BBC"/>
    <w:rsid w:val="00DB368F"/>
    <w:rsid w:val="00DD3A79"/>
    <w:rsid w:val="00DD5F06"/>
    <w:rsid w:val="00DD737C"/>
    <w:rsid w:val="00DE7613"/>
    <w:rsid w:val="00E415B6"/>
    <w:rsid w:val="00E51D3D"/>
    <w:rsid w:val="00E55A24"/>
    <w:rsid w:val="00E67857"/>
    <w:rsid w:val="00E76015"/>
    <w:rsid w:val="00EB5C72"/>
    <w:rsid w:val="00EC29E3"/>
    <w:rsid w:val="00EF291A"/>
    <w:rsid w:val="00F02AC2"/>
    <w:rsid w:val="00F02CD0"/>
    <w:rsid w:val="00F02F13"/>
    <w:rsid w:val="00F04FEC"/>
    <w:rsid w:val="00F129F7"/>
    <w:rsid w:val="00F248EE"/>
    <w:rsid w:val="00F2793D"/>
    <w:rsid w:val="00F31BFE"/>
    <w:rsid w:val="00F350AC"/>
    <w:rsid w:val="00F513CC"/>
    <w:rsid w:val="00F51A90"/>
    <w:rsid w:val="00F54FEE"/>
    <w:rsid w:val="00F7171A"/>
    <w:rsid w:val="00F83879"/>
    <w:rsid w:val="00FB61E3"/>
    <w:rsid w:val="00FB6F8A"/>
    <w:rsid w:val="00FE3BDC"/>
    <w:rsid w:val="024889D7"/>
    <w:rsid w:val="03F0F0DB"/>
    <w:rsid w:val="08EE4319"/>
    <w:rsid w:val="0B629DEA"/>
    <w:rsid w:val="0FC08147"/>
    <w:rsid w:val="109E5A23"/>
    <w:rsid w:val="10C83522"/>
    <w:rsid w:val="1164A9CD"/>
    <w:rsid w:val="11C75A04"/>
    <w:rsid w:val="11FEF486"/>
    <w:rsid w:val="13448CF5"/>
    <w:rsid w:val="14413BDD"/>
    <w:rsid w:val="158D47FB"/>
    <w:rsid w:val="170EB81E"/>
    <w:rsid w:val="1AA3E8EE"/>
    <w:rsid w:val="1DAD0392"/>
    <w:rsid w:val="1E031341"/>
    <w:rsid w:val="20A9AFA1"/>
    <w:rsid w:val="249D2C26"/>
    <w:rsid w:val="25FBED09"/>
    <w:rsid w:val="2610E45A"/>
    <w:rsid w:val="265E7858"/>
    <w:rsid w:val="277D0AF7"/>
    <w:rsid w:val="2A693F97"/>
    <w:rsid w:val="2BF553D3"/>
    <w:rsid w:val="2D11F84E"/>
    <w:rsid w:val="2D385BA2"/>
    <w:rsid w:val="33107D04"/>
    <w:rsid w:val="33758DE8"/>
    <w:rsid w:val="3639523F"/>
    <w:rsid w:val="376C29D7"/>
    <w:rsid w:val="37A00180"/>
    <w:rsid w:val="396D1F96"/>
    <w:rsid w:val="3C5C2745"/>
    <w:rsid w:val="3F87B671"/>
    <w:rsid w:val="404A053B"/>
    <w:rsid w:val="430EC880"/>
    <w:rsid w:val="43DA3D09"/>
    <w:rsid w:val="4434BCB4"/>
    <w:rsid w:val="4489E799"/>
    <w:rsid w:val="4507273A"/>
    <w:rsid w:val="46D9AA18"/>
    <w:rsid w:val="4718EC78"/>
    <w:rsid w:val="4825C68E"/>
    <w:rsid w:val="48F89CE5"/>
    <w:rsid w:val="4A913D03"/>
    <w:rsid w:val="4B2EAEE5"/>
    <w:rsid w:val="4C79BEBB"/>
    <w:rsid w:val="4D3D0CBB"/>
    <w:rsid w:val="4DA0466C"/>
    <w:rsid w:val="4DF5357D"/>
    <w:rsid w:val="5152C03C"/>
    <w:rsid w:val="525ED7E6"/>
    <w:rsid w:val="53C2AEBA"/>
    <w:rsid w:val="54E425F6"/>
    <w:rsid w:val="55CF9526"/>
    <w:rsid w:val="573F7101"/>
    <w:rsid w:val="5781E99F"/>
    <w:rsid w:val="5831D564"/>
    <w:rsid w:val="58C545AD"/>
    <w:rsid w:val="5C9ADA83"/>
    <w:rsid w:val="5DC89107"/>
    <w:rsid w:val="5EAAF767"/>
    <w:rsid w:val="5EE79415"/>
    <w:rsid w:val="5EFB895F"/>
    <w:rsid w:val="6387AE41"/>
    <w:rsid w:val="656DCE9E"/>
    <w:rsid w:val="65CA1D23"/>
    <w:rsid w:val="65CEAB41"/>
    <w:rsid w:val="6E37CDB3"/>
    <w:rsid w:val="713CD96D"/>
    <w:rsid w:val="7BD77E75"/>
    <w:rsid w:val="7D19D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3FAA2"/>
  <w15:chartTrackingRefBased/>
  <w15:docId w15:val="{771077F5-9C8B-4F38-A65D-6820CA2B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</w:style>
  <w:style w:type="paragraph" w:styleId="Heading1">
    <w:name w:val="heading 1"/>
    <w:basedOn w:val="Normal"/>
    <w:next w:val="Normal"/>
    <w:link w:val="Heading1Char"/>
    <w:uiPriority w:val="9"/>
    <w:qFormat/>
    <w:rsid w:val="0044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6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6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6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6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6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6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6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4446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6F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6F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6F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6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6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6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6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6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6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6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6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6F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6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6F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6F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0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02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B023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02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02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23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753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4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2489</Words>
  <Characters>1420</Characters>
  <Application>Microsoft Office Word</Application>
  <DocSecurity>0</DocSecurity>
  <Lines>11</Lines>
  <Paragraphs>7</Paragraphs>
  <ScaleCrop>false</ScaleCrop>
  <Company>VĮ Registrų centras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Kiaušienė</dc:creator>
  <cp:keywords/>
  <dc:description/>
  <cp:lastModifiedBy>Gabrielė Vėtaitė</cp:lastModifiedBy>
  <cp:revision>12</cp:revision>
  <dcterms:created xsi:type="dcterms:W3CDTF">2025-07-16T06:09:00Z</dcterms:created>
  <dcterms:modified xsi:type="dcterms:W3CDTF">2025-10-13T10:45:00Z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2025-06-11T09:47:58Z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c6c2ef48-6704-48a5-b5b9-d37984e5e90d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